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3A28FC" w14:textId="698BD1B2" w:rsidR="00DE4399" w:rsidRPr="00B9096E" w:rsidRDefault="00DE4399" w:rsidP="00B9096E">
      <w:pPr>
        <w:jc w:val="center"/>
        <w:rPr>
          <w:b/>
        </w:rPr>
      </w:pPr>
      <w:r w:rsidRPr="00B9096E">
        <w:rPr>
          <w:b/>
        </w:rPr>
        <w:t>Transport of Atmospheric Reactive Nitrogen: Relevance to Deposition to t</w:t>
      </w:r>
      <w:r w:rsidR="00A12DAB">
        <w:rPr>
          <w:b/>
        </w:rPr>
        <w:t>he Chesapeake and its Watershed</w:t>
      </w:r>
    </w:p>
    <w:p w14:paraId="6D4E127C" w14:textId="77777777" w:rsidR="00DE4399" w:rsidRDefault="00DE4399"/>
    <w:p w14:paraId="67280459" w14:textId="77777777" w:rsidR="00DE4399" w:rsidRDefault="00DE4399" w:rsidP="00435D9A">
      <w:pPr>
        <w:jc w:val="center"/>
        <w:outlineLvl w:val="0"/>
      </w:pPr>
      <w:r>
        <w:t>A brief report prepared for G. Tad Aburn, MDE</w:t>
      </w:r>
    </w:p>
    <w:p w14:paraId="5F68D760" w14:textId="4A8C0FD8" w:rsidR="00DE4399" w:rsidRDefault="00DE4399" w:rsidP="00B9096E">
      <w:pPr>
        <w:jc w:val="center"/>
      </w:pPr>
      <w:r>
        <w:t>By</w:t>
      </w:r>
    </w:p>
    <w:p w14:paraId="7A489E0B" w14:textId="7B5C716D" w:rsidR="00DE4399" w:rsidRDefault="00DE4399" w:rsidP="00B9096E">
      <w:pPr>
        <w:jc w:val="center"/>
      </w:pPr>
      <w:r>
        <w:t xml:space="preserve">Russell </w:t>
      </w:r>
      <w:r w:rsidR="00D66DD4">
        <w:t xml:space="preserve">R. </w:t>
      </w:r>
      <w:r>
        <w:t>Dickerson</w:t>
      </w:r>
    </w:p>
    <w:p w14:paraId="1B9E2A55" w14:textId="0333F576" w:rsidR="00DE4399" w:rsidRDefault="00DE4399" w:rsidP="00B9096E">
      <w:pPr>
        <w:jc w:val="center"/>
      </w:pPr>
      <w:r>
        <w:t>Dept. A</w:t>
      </w:r>
      <w:r w:rsidR="00D66DD4">
        <w:t>tmospheric and Oceanic Sciences</w:t>
      </w:r>
    </w:p>
    <w:p w14:paraId="7FD34F66" w14:textId="77777777" w:rsidR="00B9096E" w:rsidRDefault="00DE4399" w:rsidP="00B9096E">
      <w:pPr>
        <w:jc w:val="center"/>
      </w:pPr>
      <w:r>
        <w:t>The University of Maryland</w:t>
      </w:r>
    </w:p>
    <w:p w14:paraId="780D2F19" w14:textId="77777777" w:rsidR="00B9096E" w:rsidRDefault="00B9096E" w:rsidP="00435D9A">
      <w:pPr>
        <w:jc w:val="center"/>
        <w:outlineLvl w:val="0"/>
      </w:pPr>
      <w:r>
        <w:t>College Park, MD</w:t>
      </w:r>
    </w:p>
    <w:p w14:paraId="6B922E55" w14:textId="62087687" w:rsidR="00D66DD4" w:rsidRDefault="00D66DD4" w:rsidP="00435D9A">
      <w:pPr>
        <w:jc w:val="center"/>
        <w:outlineLvl w:val="0"/>
      </w:pPr>
      <w:r>
        <w:t>301.405.5364</w:t>
      </w:r>
    </w:p>
    <w:p w14:paraId="441EC46C" w14:textId="23C8C169" w:rsidR="00B9096E" w:rsidRDefault="00930986" w:rsidP="00435D9A">
      <w:pPr>
        <w:jc w:val="center"/>
        <w:outlineLvl w:val="0"/>
      </w:pPr>
      <w:hyperlink r:id="rId7" w:history="1">
        <w:r w:rsidR="00B9096E" w:rsidRPr="00D63B17">
          <w:rPr>
            <w:rStyle w:val="Hyperlink"/>
          </w:rPr>
          <w:t>russ@atmos.umd.edu</w:t>
        </w:r>
      </w:hyperlink>
    </w:p>
    <w:p w14:paraId="79B7F86C" w14:textId="77777777" w:rsidR="00D66DD4" w:rsidRDefault="00D66DD4" w:rsidP="00B9096E">
      <w:pPr>
        <w:jc w:val="center"/>
      </w:pPr>
    </w:p>
    <w:p w14:paraId="33F87946" w14:textId="318B64BC" w:rsidR="00A12DAB" w:rsidRDefault="00506E99" w:rsidP="00B9096E">
      <w:pPr>
        <w:jc w:val="center"/>
      </w:pPr>
      <w:r>
        <w:t>March 10, 2012</w:t>
      </w:r>
    </w:p>
    <w:p w14:paraId="4BA44980" w14:textId="77777777" w:rsidR="00506E99" w:rsidRDefault="00506E99" w:rsidP="00B9096E">
      <w:pPr>
        <w:jc w:val="center"/>
      </w:pPr>
    </w:p>
    <w:p w14:paraId="78A49F18" w14:textId="77777777" w:rsidR="00506E99" w:rsidRDefault="00506E99" w:rsidP="00506E99"/>
    <w:p w14:paraId="5E7855A0" w14:textId="7DAD09DB" w:rsidR="00506E99" w:rsidRDefault="00506E99" w:rsidP="00506E99">
      <w:r>
        <w:t xml:space="preserve">This report addresses the question “Regional (interstate) transport plays a major role in ground-level ozone over the eastern US, but do the same processes transport reactive nitrogen to the Chesapeake Bay and its watershed where it is deposited from the atmosphere to the Earth’s surface?”  The basic chemistry of </w:t>
      </w:r>
      <w:r w:rsidR="00810915">
        <w:t xml:space="preserve">oxidized, </w:t>
      </w:r>
      <w:r>
        <w:t>reactive nitrogen is reviewed to show its transf</w:t>
      </w:r>
      <w:r w:rsidR="00D44CB4">
        <w:t>ormations, lifetime, and losses and that deposition of reactive nitrogen is, like ozone, a regional problem.</w:t>
      </w:r>
    </w:p>
    <w:p w14:paraId="67B09CF4" w14:textId="77777777" w:rsidR="00B9096E" w:rsidRDefault="00B9096E" w:rsidP="00506E99"/>
    <w:p w14:paraId="58D980EC" w14:textId="2D4B4B75" w:rsidR="00506E99" w:rsidRDefault="00D44CB4" w:rsidP="00506E99">
      <w:r>
        <w:t xml:space="preserve">Power plants, </w:t>
      </w:r>
      <w:r w:rsidR="00506E99">
        <w:t>vehicles</w:t>
      </w:r>
      <w:r>
        <w:t>, fertilized soils and other sources</w:t>
      </w:r>
      <w:r w:rsidR="00506E99">
        <w:t xml:space="preserve"> emit reactive nitrogen primarily as nitric oxide, NO.  In the atmosphere</w:t>
      </w:r>
      <w:r>
        <w:t>,</w:t>
      </w:r>
      <w:r w:rsidR="00506E99">
        <w:t xml:space="preserve"> NO is rapidly oxidized to nitrogen dioxide, NO</w:t>
      </w:r>
      <w:r w:rsidR="00506E99" w:rsidRPr="007A00E3">
        <w:rPr>
          <w:vertAlign w:val="subscript"/>
        </w:rPr>
        <w:t>2</w:t>
      </w:r>
      <w:r w:rsidR="00506E99">
        <w:t xml:space="preserve">.  These two species are </w:t>
      </w:r>
      <w:r>
        <w:t>rapidly interconverted in the reactions shown below and are thus usually considered together as NOx, the sum of NO and NO</w:t>
      </w:r>
      <w:r w:rsidR="007A00E3" w:rsidRPr="007A00E3">
        <w:rPr>
          <w:vertAlign w:val="subscript"/>
        </w:rPr>
        <w:t>2</w:t>
      </w:r>
      <w:r>
        <w:t>.</w:t>
      </w:r>
    </w:p>
    <w:p w14:paraId="7EB22136" w14:textId="77777777" w:rsidR="00D44CB4" w:rsidRDefault="00D44CB4" w:rsidP="00506E99"/>
    <w:p w14:paraId="423AD90F" w14:textId="2EE4C63E" w:rsidR="00D44CB4" w:rsidRDefault="00D44CB4" w:rsidP="00435D9A">
      <w:pPr>
        <w:jc w:val="center"/>
        <w:outlineLvl w:val="0"/>
      </w:pPr>
      <w:r>
        <w:t xml:space="preserve">NO + </w:t>
      </w:r>
      <w:r w:rsidR="00D66DD4">
        <w:t>O</w:t>
      </w:r>
      <w:r w:rsidR="007A00E3" w:rsidRPr="007A00E3">
        <w:rPr>
          <w:vertAlign w:val="subscript"/>
        </w:rPr>
        <w:t>3</w:t>
      </w:r>
      <w:r w:rsidR="00D66DD4">
        <w:t xml:space="preserve"> </w:t>
      </w:r>
      <w:r>
        <w:sym w:font="Symbol" w:char="F0AE"/>
      </w:r>
      <w:r>
        <w:t xml:space="preserve"> NO</w:t>
      </w:r>
      <w:r w:rsidR="007A00E3" w:rsidRPr="007A00E3">
        <w:rPr>
          <w:vertAlign w:val="subscript"/>
        </w:rPr>
        <w:t>2</w:t>
      </w:r>
      <w:r>
        <w:t xml:space="preserve"> + O</w:t>
      </w:r>
      <w:r w:rsidR="007A00E3" w:rsidRPr="007A00E3">
        <w:rPr>
          <w:vertAlign w:val="subscript"/>
        </w:rPr>
        <w:t>2</w:t>
      </w:r>
    </w:p>
    <w:p w14:paraId="7BCE8CC8" w14:textId="131B3F6B" w:rsidR="00D44CB4" w:rsidRDefault="00D44CB4" w:rsidP="00D44CB4">
      <w:pPr>
        <w:jc w:val="center"/>
      </w:pPr>
      <w:r>
        <w:t>NO</w:t>
      </w:r>
      <w:r w:rsidR="007A00E3" w:rsidRPr="007A00E3">
        <w:rPr>
          <w:vertAlign w:val="subscript"/>
        </w:rPr>
        <w:t>2</w:t>
      </w:r>
      <w:r>
        <w:t xml:space="preserve"> + hv </w:t>
      </w:r>
      <w:r>
        <w:sym w:font="Symbol" w:char="F0AE"/>
      </w:r>
      <w:r>
        <w:t xml:space="preserve"> NO + O</w:t>
      </w:r>
    </w:p>
    <w:p w14:paraId="0A640499" w14:textId="4A3FC8EA" w:rsidR="00D44CB4" w:rsidRPr="007A00E3" w:rsidRDefault="00D44CB4" w:rsidP="00D44CB4">
      <w:pPr>
        <w:jc w:val="center"/>
      </w:pPr>
      <w:r>
        <w:t>O + O</w:t>
      </w:r>
      <w:r w:rsidR="007A00E3" w:rsidRPr="007A00E3">
        <w:rPr>
          <w:vertAlign w:val="subscript"/>
        </w:rPr>
        <w:t>2</w:t>
      </w:r>
      <w:r>
        <w:t xml:space="preserve"> </w:t>
      </w:r>
      <w:r w:rsidR="007A00E3">
        <w:t xml:space="preserve">+M </w:t>
      </w:r>
      <w:r>
        <w:sym w:font="Symbol" w:char="F0AE"/>
      </w:r>
      <w:r>
        <w:t xml:space="preserve"> O</w:t>
      </w:r>
      <w:r w:rsidR="007A00E3" w:rsidRPr="007A00E3">
        <w:rPr>
          <w:vertAlign w:val="subscript"/>
        </w:rPr>
        <w:t>3</w:t>
      </w:r>
      <w:r w:rsidR="007A00E3">
        <w:t xml:space="preserve"> + M</w:t>
      </w:r>
    </w:p>
    <w:p w14:paraId="4A249EE8" w14:textId="77777777" w:rsidR="00D44CB4" w:rsidRDefault="00D44CB4" w:rsidP="00506E99"/>
    <w:p w14:paraId="79F0F4C2" w14:textId="33C2830E" w:rsidR="00D44CB4" w:rsidRDefault="001E1964" w:rsidP="00506E99">
      <w:r>
        <w:t>NO</w:t>
      </w:r>
      <w:r w:rsidRPr="001E1964">
        <w:rPr>
          <w:vertAlign w:val="subscript"/>
        </w:rPr>
        <w:t>2</w:t>
      </w:r>
      <w:r w:rsidR="00810915">
        <w:t xml:space="preserve"> can be lost f</w:t>
      </w:r>
      <w:r>
        <w:t>r</w:t>
      </w:r>
      <w:r w:rsidR="00810915">
        <w:t>o</w:t>
      </w:r>
      <w:r>
        <w:t>m the atmosphere by direct (dry) deposition to the Earth’s surface, but</w:t>
      </w:r>
      <w:r w:rsidR="00E30A93">
        <w:t xml:space="preserve"> t</w:t>
      </w:r>
      <w:r w:rsidR="00D44CB4">
        <w:t xml:space="preserve">he lifetime </w:t>
      </w:r>
      <w:r w:rsidR="00435D9A">
        <w:t xml:space="preserve">(time to reach 1/e of the original amount) </w:t>
      </w:r>
      <w:r w:rsidR="00D44CB4">
        <w:t>of NOx in the troposphere is short, less than a day, because it is rapidly converted to reservoir or sink species</w:t>
      </w:r>
      <w:r w:rsidR="00516DBA">
        <w:t xml:space="preserve"> </w:t>
      </w:r>
      <w:r w:rsidR="00516DBA">
        <w:fldChar w:fldCharType="begin"/>
      </w:r>
      <w:r w:rsidR="00516DBA">
        <w:instrText xml:space="preserve"> ADDIN EN.CITE &lt;EndNote&gt;&lt;Cite&gt;&lt;Author&gt;EPA&lt;/Author&gt;&lt;Year&gt;2008&lt;/Year&gt;&lt;RecNum&gt;14947&lt;/RecNum&gt;&lt;DisplayText&gt;[&lt;style face="italic"&gt;EPA&lt;/style&gt;, 2006; 2008]&lt;/DisplayText&gt;&lt;record&gt;&lt;rec-number&gt;14947&lt;/rec-number&gt;&lt;foreign-keys&gt;&lt;key app="EN" db-id="20ez2zzp6frwx3exz5q5t09sv59apd2rvdwv"&gt;14947&lt;/key&gt;&lt;/foreign-keys&gt;&lt;ref-type name="Report"&gt;27&lt;/ref-type&gt;&lt;contributors&gt;&lt;authors&gt;&lt;author&gt;EPA&lt;/author&gt;&lt;/authors&gt;&lt;/contributors&gt;&lt;titles&gt;&lt;title&gt;Integrated Science Assessment for Oxides of Nitrogen and Sulfur – Ecological Criteria&lt;/title&gt;&lt;/titles&gt;&lt;dates&gt;&lt;year&gt;2008&lt;/year&gt;&lt;/dates&gt;&lt;isbn&gt;EPA/600/R-08/082F&lt;/isbn&gt;&lt;urls&gt;&lt;related-urls&gt;&lt;url&gt;http://cfpub.epa.gov/ncea/cfm/recordisplay.cfm?deid=181712&lt;/url&gt;&lt;/related-urls&gt;&lt;/urls&gt;&lt;/record&gt;&lt;/Cite&gt;&lt;Cite&gt;&lt;Author&gt;EPA&lt;/Author&gt;&lt;Year&gt;2006&lt;/Year&gt;&lt;RecNum&gt;3093&lt;/RecNum&gt;&lt;record&gt;&lt;rec-number&gt;3093&lt;/rec-number&gt;&lt;foreign-keys&gt;&lt;key app="EN" db-id="20ez2zzp6frwx3exz5q5t09sv59apd2rvdwv"&gt;3093&lt;/key&gt;&lt;/foreign-keys&gt;&lt;ref-type name="Report"&gt;27&lt;/ref-type&gt;&lt;contributors&gt;&lt;authors&gt;&lt;author&gt;EPA&lt;/author&gt;&lt;/authors&gt;&lt;secondary-authors&gt;&lt;author&gt;Pinto, J.&lt;/author&gt;&lt;/secondary-authors&gt;&lt;/contributors&gt;&lt;titles&gt;&lt;title&gt;Air Quality Criteria for Ozone and Related Photochemical Oxidants &lt;/title&gt;&lt;secondary-title&gt;Criteria Documents&lt;/secondary-title&gt;&lt;/titles&gt;&lt;dates&gt;&lt;year&gt;2006&lt;/year&gt;&lt;pub-dates&gt;&lt;date&gt;2006&lt;/date&gt;&lt;/pub-dates&gt;&lt;/dates&gt;&lt;isbn&gt;EPA/600/R-05/0004aA&lt;/isbn&gt;&lt;urls&gt;&lt;/urls&gt;&lt;/record&gt;&lt;/Cite&gt;&lt;/EndNote&gt;</w:instrText>
      </w:r>
      <w:r w:rsidR="00516DBA">
        <w:fldChar w:fldCharType="separate"/>
      </w:r>
      <w:r w:rsidR="00516DBA">
        <w:rPr>
          <w:noProof/>
        </w:rPr>
        <w:t>[</w:t>
      </w:r>
      <w:hyperlink w:anchor="_ENREF_1" w:tooltip="EPA, 2006 #3093" w:history="1">
        <w:r w:rsidR="00516DBA" w:rsidRPr="00516DBA">
          <w:rPr>
            <w:i/>
            <w:noProof/>
          </w:rPr>
          <w:t>EPA</w:t>
        </w:r>
        <w:r w:rsidR="00516DBA">
          <w:rPr>
            <w:noProof/>
          </w:rPr>
          <w:t>, 2006</w:t>
        </w:r>
      </w:hyperlink>
      <w:r w:rsidR="00516DBA">
        <w:rPr>
          <w:noProof/>
        </w:rPr>
        <w:t xml:space="preserve">; </w:t>
      </w:r>
      <w:hyperlink w:anchor="_ENREF_2" w:tooltip="EPA, 2008 #14947" w:history="1">
        <w:r w:rsidR="00516DBA">
          <w:rPr>
            <w:noProof/>
          </w:rPr>
          <w:t>2008</w:t>
        </w:r>
      </w:hyperlink>
      <w:r w:rsidR="00516DBA">
        <w:rPr>
          <w:noProof/>
        </w:rPr>
        <w:t>]</w:t>
      </w:r>
      <w:r w:rsidR="00516DBA">
        <w:fldChar w:fldCharType="end"/>
      </w:r>
      <w:r w:rsidR="00D44CB4">
        <w:t>.  Reactions with organic compounds generate reservoir species, for example:</w:t>
      </w:r>
    </w:p>
    <w:p w14:paraId="220546B6" w14:textId="77777777" w:rsidR="00D44CB4" w:rsidRDefault="00D44CB4" w:rsidP="00506E99"/>
    <w:p w14:paraId="3F768318" w14:textId="4841E9E5" w:rsidR="00D44CB4" w:rsidRDefault="00D44CB4" w:rsidP="00435D9A">
      <w:pPr>
        <w:jc w:val="center"/>
        <w:outlineLvl w:val="0"/>
      </w:pPr>
      <w:r>
        <w:t>NO</w:t>
      </w:r>
      <w:r w:rsidR="007A00E3" w:rsidRPr="007A00E3">
        <w:rPr>
          <w:vertAlign w:val="subscript"/>
        </w:rPr>
        <w:t>2</w:t>
      </w:r>
      <w:r>
        <w:t xml:space="preserve"> + CH</w:t>
      </w:r>
      <w:r w:rsidR="007A00E3" w:rsidRPr="007A00E3">
        <w:rPr>
          <w:vertAlign w:val="subscript"/>
        </w:rPr>
        <w:t>3</w:t>
      </w:r>
      <w:r>
        <w:t xml:space="preserve">-CHOO </w:t>
      </w:r>
      <w:r>
        <w:sym w:font="Symbol" w:char="F0DB"/>
      </w:r>
      <w:r w:rsidR="00913A89">
        <w:t xml:space="preserve"> CH</w:t>
      </w:r>
      <w:r w:rsidR="007A00E3" w:rsidRPr="007A00E3">
        <w:rPr>
          <w:vertAlign w:val="subscript"/>
        </w:rPr>
        <w:t>3</w:t>
      </w:r>
      <w:r w:rsidR="00913A89">
        <w:t>-CHO</w:t>
      </w:r>
      <w:r>
        <w:t>ONO</w:t>
      </w:r>
      <w:r w:rsidR="007A00E3" w:rsidRPr="007A00E3">
        <w:rPr>
          <w:vertAlign w:val="subscript"/>
        </w:rPr>
        <w:t>2</w:t>
      </w:r>
    </w:p>
    <w:p w14:paraId="7021B458" w14:textId="77777777" w:rsidR="00D44CB4" w:rsidRDefault="00D44CB4" w:rsidP="00D44CB4">
      <w:pPr>
        <w:jc w:val="center"/>
      </w:pPr>
    </w:p>
    <w:p w14:paraId="58108BB4" w14:textId="19E486FB" w:rsidR="00D44CB4" w:rsidRDefault="00D44CB4" w:rsidP="00435D9A">
      <w:pPr>
        <w:jc w:val="center"/>
        <w:outlineLvl w:val="0"/>
      </w:pPr>
      <w:r>
        <w:t>NO</w:t>
      </w:r>
      <w:r w:rsidR="007A00E3" w:rsidRPr="007A00E3">
        <w:rPr>
          <w:vertAlign w:val="subscript"/>
        </w:rPr>
        <w:t>2</w:t>
      </w:r>
      <w:r>
        <w:t xml:space="preserve"> + VOC </w:t>
      </w:r>
      <w:r w:rsidR="00913A89">
        <w:t>(+O</w:t>
      </w:r>
      <w:r w:rsidR="007A00E3" w:rsidRPr="007A00E3">
        <w:rPr>
          <w:vertAlign w:val="subscript"/>
        </w:rPr>
        <w:t>3</w:t>
      </w:r>
      <w:r w:rsidR="00D25121">
        <w:t xml:space="preserve"> or OH</w:t>
      </w:r>
      <w:r w:rsidR="00913A89">
        <w:t xml:space="preserve">) </w:t>
      </w:r>
      <w:r>
        <w:sym w:font="Symbol" w:char="F0AE"/>
      </w:r>
      <w:r>
        <w:t xml:space="preserve"> R-ONO</w:t>
      </w:r>
      <w:r w:rsidR="007A00E3" w:rsidRPr="007A00E3">
        <w:rPr>
          <w:vertAlign w:val="subscript"/>
        </w:rPr>
        <w:t>2</w:t>
      </w:r>
      <w:r w:rsidR="00913A89">
        <w:t xml:space="preserve"> + O</w:t>
      </w:r>
      <w:r w:rsidR="007A00E3" w:rsidRPr="007A00E3">
        <w:rPr>
          <w:vertAlign w:val="subscript"/>
        </w:rPr>
        <w:t>2</w:t>
      </w:r>
    </w:p>
    <w:p w14:paraId="77E4B813" w14:textId="77777777" w:rsidR="00D44CB4" w:rsidRDefault="00D44CB4" w:rsidP="00506E99"/>
    <w:p w14:paraId="0F10BA98" w14:textId="4CFC8A59" w:rsidR="00D44CB4" w:rsidRDefault="00D44CB4" w:rsidP="00506E99">
      <w:r>
        <w:t>The produc</w:t>
      </w:r>
      <w:r w:rsidR="00913A89">
        <w:t>t</w:t>
      </w:r>
      <w:r>
        <w:t xml:space="preserve">s of these two reactions </w:t>
      </w:r>
      <w:r w:rsidR="00913A89">
        <w:t>are pero</w:t>
      </w:r>
      <w:r w:rsidR="00D25121">
        <w:t>xy acetyl nitrate (PAN</w:t>
      </w:r>
      <w:r w:rsidR="00913A89">
        <w:t>) and alkyl nitrates (AN’s)</w:t>
      </w:r>
      <w:r w:rsidR="00FF7031">
        <w:t xml:space="preserve"> respectively</w:t>
      </w:r>
      <w:r w:rsidR="00913A89">
        <w:t xml:space="preserve">.  In reality these products represent families of compounds and sometimes involve a series of reactions.  Both PAN’s and AN’s </w:t>
      </w:r>
      <w:r w:rsidR="00FF7031">
        <w:t xml:space="preserve">generally </w:t>
      </w:r>
      <w:r w:rsidR="00913A89">
        <w:t xml:space="preserve">sequester rather than remove NOx from the atmosphere because they can </w:t>
      </w:r>
      <w:r w:rsidR="00913A89">
        <w:lastRenderedPageBreak/>
        <w:t>be converted back into NOx.  PAN is relative stable at cold temperatures typical of high altitudes</w:t>
      </w:r>
      <w:r w:rsidR="00810915">
        <w:t>,</w:t>
      </w:r>
      <w:r w:rsidR="00913A89">
        <w:t xml:space="preserve"> but thermally decomposes at hotter temperatures near the surface.  Other reservoirs include N</w:t>
      </w:r>
      <w:r w:rsidR="007A00E3" w:rsidRPr="007A00E3">
        <w:rPr>
          <w:vertAlign w:val="subscript"/>
        </w:rPr>
        <w:t>2</w:t>
      </w:r>
      <w:r w:rsidR="00913A89">
        <w:t>O</w:t>
      </w:r>
      <w:r w:rsidR="00913A89" w:rsidRPr="00E90074">
        <w:rPr>
          <w:vertAlign w:val="subscript"/>
        </w:rPr>
        <w:t>5</w:t>
      </w:r>
      <w:r w:rsidR="00913A89">
        <w:t>, and in the winter NH</w:t>
      </w:r>
      <w:r w:rsidR="00913A89" w:rsidRPr="00E90074">
        <w:rPr>
          <w:vertAlign w:val="subscript"/>
        </w:rPr>
        <w:t>4</w:t>
      </w:r>
      <w:r w:rsidR="00913A89">
        <w:t>NO</w:t>
      </w:r>
      <w:r w:rsidR="007A00E3" w:rsidRPr="007A00E3">
        <w:rPr>
          <w:vertAlign w:val="subscript"/>
        </w:rPr>
        <w:t>3</w:t>
      </w:r>
      <w:r w:rsidR="00913A89">
        <w:t>.  The lifetimes of these re</w:t>
      </w:r>
      <w:r w:rsidR="001E1964">
        <w:t>s</w:t>
      </w:r>
      <w:r w:rsidR="00516DBA">
        <w:t>ervoir species are</w:t>
      </w:r>
      <w:r w:rsidR="00913A89">
        <w:t xml:space="preserve"> generally longer than that of NOx.</w:t>
      </w:r>
    </w:p>
    <w:p w14:paraId="5915D336" w14:textId="77777777" w:rsidR="00E30A93" w:rsidRDefault="00E30A93" w:rsidP="00506E99"/>
    <w:p w14:paraId="4B0FBC2E" w14:textId="0FC142C1" w:rsidR="00913A89" w:rsidRDefault="00913A89" w:rsidP="00506E99">
      <w:r>
        <w:t>The ultimate fate of most NOx is nitric acid, HNO</w:t>
      </w:r>
      <w:r w:rsidRPr="00E90074">
        <w:rPr>
          <w:vertAlign w:val="subscript"/>
        </w:rPr>
        <w:t>3</w:t>
      </w:r>
      <w:r>
        <w:t>.  Two processes dominate the formation of HNO</w:t>
      </w:r>
      <w:r w:rsidRPr="00E90074">
        <w:rPr>
          <w:vertAlign w:val="subscript"/>
        </w:rPr>
        <w:t>3</w:t>
      </w:r>
      <w:r>
        <w:t>:</w:t>
      </w:r>
    </w:p>
    <w:p w14:paraId="27AF6BA4" w14:textId="77777777" w:rsidR="00913A89" w:rsidRDefault="00913A89" w:rsidP="00506E99"/>
    <w:p w14:paraId="042AA73B" w14:textId="18C2B799" w:rsidR="00913A89" w:rsidRDefault="00913A89" w:rsidP="00435D9A">
      <w:pPr>
        <w:jc w:val="center"/>
        <w:outlineLvl w:val="0"/>
      </w:pPr>
      <w:r>
        <w:t>NO</w:t>
      </w:r>
      <w:r w:rsidR="007A00E3" w:rsidRPr="007A00E3">
        <w:rPr>
          <w:vertAlign w:val="subscript"/>
        </w:rPr>
        <w:t>2</w:t>
      </w:r>
      <w:r>
        <w:t xml:space="preserve"> + OH + M </w:t>
      </w:r>
      <w:r>
        <w:sym w:font="Symbol" w:char="F0AE"/>
      </w:r>
      <w:r>
        <w:t xml:space="preserve"> HNO</w:t>
      </w:r>
      <w:r w:rsidR="007A00E3" w:rsidRPr="007A00E3">
        <w:rPr>
          <w:vertAlign w:val="subscript"/>
        </w:rPr>
        <w:t>3</w:t>
      </w:r>
      <w:r>
        <w:t xml:space="preserve"> + M</w:t>
      </w:r>
    </w:p>
    <w:p w14:paraId="3554ACFD" w14:textId="77777777" w:rsidR="00E30A93" w:rsidRDefault="00E30A93" w:rsidP="001E1964">
      <w:pPr>
        <w:jc w:val="center"/>
      </w:pPr>
    </w:p>
    <w:p w14:paraId="0C7D2EBE" w14:textId="3976F7C8" w:rsidR="00E30A93" w:rsidRDefault="00E30A93" w:rsidP="001E1964">
      <w:pPr>
        <w:jc w:val="center"/>
      </w:pPr>
      <w:r>
        <w:t>and</w:t>
      </w:r>
    </w:p>
    <w:p w14:paraId="4DFE3DDE" w14:textId="77777777" w:rsidR="00913A89" w:rsidRDefault="00913A89" w:rsidP="001E1964">
      <w:pPr>
        <w:jc w:val="center"/>
      </w:pPr>
    </w:p>
    <w:p w14:paraId="493452F7" w14:textId="0A832B03" w:rsidR="00913A89" w:rsidRDefault="00913A89" w:rsidP="00435D9A">
      <w:pPr>
        <w:jc w:val="center"/>
        <w:outlineLvl w:val="0"/>
      </w:pPr>
      <w:r>
        <w:t>NO</w:t>
      </w:r>
      <w:r w:rsidR="007A00E3" w:rsidRPr="007A00E3">
        <w:rPr>
          <w:vertAlign w:val="subscript"/>
        </w:rPr>
        <w:t>2</w:t>
      </w:r>
      <w:r>
        <w:t xml:space="preserve"> + O</w:t>
      </w:r>
      <w:r w:rsidR="007A00E3" w:rsidRPr="007A00E3">
        <w:rPr>
          <w:vertAlign w:val="subscript"/>
        </w:rPr>
        <w:t>3</w:t>
      </w:r>
      <w:r>
        <w:t xml:space="preserve"> </w:t>
      </w:r>
      <w:r>
        <w:sym w:font="Symbol" w:char="F0AE"/>
      </w:r>
      <w:r>
        <w:t xml:space="preserve"> NO</w:t>
      </w:r>
      <w:r w:rsidR="007A00E3" w:rsidRPr="007A00E3">
        <w:rPr>
          <w:vertAlign w:val="subscript"/>
        </w:rPr>
        <w:t>3</w:t>
      </w:r>
      <w:r>
        <w:t xml:space="preserve"> + O</w:t>
      </w:r>
      <w:r w:rsidR="007A00E3" w:rsidRPr="007A00E3">
        <w:rPr>
          <w:vertAlign w:val="subscript"/>
        </w:rPr>
        <w:t>2</w:t>
      </w:r>
    </w:p>
    <w:p w14:paraId="3EDB6657" w14:textId="3D0543E5" w:rsidR="00913A89" w:rsidRDefault="001E1964" w:rsidP="001E1964">
      <w:pPr>
        <w:jc w:val="center"/>
      </w:pPr>
      <w:r>
        <w:t>NO</w:t>
      </w:r>
      <w:r w:rsidR="007A00E3" w:rsidRPr="007A00E3">
        <w:rPr>
          <w:vertAlign w:val="subscript"/>
        </w:rPr>
        <w:t>3</w:t>
      </w:r>
      <w:r>
        <w:t xml:space="preserve"> + NO</w:t>
      </w:r>
      <w:r w:rsidR="007A00E3" w:rsidRPr="007A00E3">
        <w:rPr>
          <w:vertAlign w:val="subscript"/>
        </w:rPr>
        <w:t>2</w:t>
      </w:r>
      <w:r>
        <w:t xml:space="preserve"> + M </w:t>
      </w:r>
      <w:r>
        <w:sym w:font="Symbol" w:char="F0AE"/>
      </w:r>
      <w:r>
        <w:t xml:space="preserve"> N</w:t>
      </w:r>
      <w:r w:rsidR="007A00E3" w:rsidRPr="007A00E3">
        <w:rPr>
          <w:vertAlign w:val="subscript"/>
        </w:rPr>
        <w:t>2</w:t>
      </w:r>
      <w:r>
        <w:t>O</w:t>
      </w:r>
      <w:r w:rsidRPr="007A00E3">
        <w:rPr>
          <w:vertAlign w:val="subscript"/>
        </w:rPr>
        <w:t>5</w:t>
      </w:r>
      <w:r>
        <w:t xml:space="preserve"> + M</w:t>
      </w:r>
    </w:p>
    <w:p w14:paraId="42849935" w14:textId="58229E03" w:rsidR="001E1964" w:rsidRDefault="001E1964" w:rsidP="001E1964">
      <w:pPr>
        <w:jc w:val="center"/>
      </w:pPr>
      <w:r>
        <w:t>N</w:t>
      </w:r>
      <w:r w:rsidR="007A00E3" w:rsidRPr="007A00E3">
        <w:rPr>
          <w:vertAlign w:val="subscript"/>
        </w:rPr>
        <w:t>2</w:t>
      </w:r>
      <w:r>
        <w:t>O</w:t>
      </w:r>
      <w:r w:rsidRPr="007A00E3">
        <w:rPr>
          <w:vertAlign w:val="subscript"/>
        </w:rPr>
        <w:t>5</w:t>
      </w:r>
      <w:r>
        <w:t xml:space="preserve"> + H</w:t>
      </w:r>
      <w:r w:rsidR="007A00E3" w:rsidRPr="007A00E3">
        <w:rPr>
          <w:vertAlign w:val="subscript"/>
        </w:rPr>
        <w:t>2</w:t>
      </w:r>
      <w:r>
        <w:t xml:space="preserve">O (liquid) </w:t>
      </w:r>
      <w:r>
        <w:sym w:font="Symbol" w:char="F0AE"/>
      </w:r>
      <w:r>
        <w:t xml:space="preserve"> 2HNO</w:t>
      </w:r>
      <w:r w:rsidR="007A00E3" w:rsidRPr="007A00E3">
        <w:rPr>
          <w:vertAlign w:val="subscript"/>
        </w:rPr>
        <w:t>3</w:t>
      </w:r>
    </w:p>
    <w:p w14:paraId="4CA23B7C" w14:textId="77777777" w:rsidR="001E1964" w:rsidRDefault="001E1964" w:rsidP="00506E99"/>
    <w:p w14:paraId="06D0D86C" w14:textId="2333DEF0" w:rsidR="001E1964" w:rsidRDefault="001E1964" w:rsidP="00506E99">
      <w:r>
        <w:t xml:space="preserve">The first pathway, involving OH radicals, occurs in daytime and the second pathway occurs primarily at night.  Nitric acid </w:t>
      </w:r>
      <w:r w:rsidR="00E30A93">
        <w:t xml:space="preserve">is soluble and highly reactive thus both wet and dry deposition occur rapidly.  </w:t>
      </w:r>
    </w:p>
    <w:p w14:paraId="49F3A5FE" w14:textId="77777777" w:rsidR="00E30A93" w:rsidRDefault="00E30A93" w:rsidP="00506E99"/>
    <w:p w14:paraId="17FC529D" w14:textId="6A9FC539" w:rsidR="00E30A93" w:rsidRDefault="00E30A93" w:rsidP="00506E99">
      <w:r>
        <w:t>The sum of all</w:t>
      </w:r>
      <w:r w:rsidR="00E90074">
        <w:t xml:space="preserve"> oxidized, reactive nitrogen, NOy, </w:t>
      </w:r>
      <w:r>
        <w:t>to a good approximation can be defined a</w:t>
      </w:r>
      <w:r w:rsidR="00516DBA">
        <w:t>s</w:t>
      </w:r>
      <w:r>
        <w:t xml:space="preserve"> follows:</w:t>
      </w:r>
    </w:p>
    <w:p w14:paraId="656E8CDC" w14:textId="77777777" w:rsidR="00E30A93" w:rsidRDefault="00E30A93" w:rsidP="00506E99"/>
    <w:p w14:paraId="5D1ED15A" w14:textId="12ECEB23" w:rsidR="00E30A93" w:rsidRDefault="00E30A93" w:rsidP="00435D9A">
      <w:pPr>
        <w:jc w:val="center"/>
        <w:outlineLvl w:val="0"/>
      </w:pPr>
      <w:r>
        <w:t>NOy = NOx + NO</w:t>
      </w:r>
      <w:r w:rsidR="007A00E3" w:rsidRPr="007A00E3">
        <w:rPr>
          <w:vertAlign w:val="subscript"/>
        </w:rPr>
        <w:t>3</w:t>
      </w:r>
      <w:r>
        <w:t xml:space="preserve"> + 2*N</w:t>
      </w:r>
      <w:r w:rsidR="007A00E3" w:rsidRPr="007A00E3">
        <w:rPr>
          <w:vertAlign w:val="subscript"/>
        </w:rPr>
        <w:t>2</w:t>
      </w:r>
      <w:r>
        <w:t>O</w:t>
      </w:r>
      <w:r w:rsidRPr="007A00E3">
        <w:rPr>
          <w:vertAlign w:val="subscript"/>
        </w:rPr>
        <w:t>5</w:t>
      </w:r>
      <w:r>
        <w:t xml:space="preserve"> + PAN + AN + HNO</w:t>
      </w:r>
      <w:r w:rsidR="007A00E3" w:rsidRPr="007A00E3">
        <w:rPr>
          <w:vertAlign w:val="subscript"/>
        </w:rPr>
        <w:t>3</w:t>
      </w:r>
      <w:r>
        <w:t xml:space="preserve"> + HNO</w:t>
      </w:r>
      <w:r w:rsidR="007A00E3" w:rsidRPr="007A00E3">
        <w:rPr>
          <w:vertAlign w:val="subscript"/>
        </w:rPr>
        <w:t>2</w:t>
      </w:r>
      <w:r>
        <w:t xml:space="preserve"> + NH</w:t>
      </w:r>
      <w:r w:rsidRPr="007A00E3">
        <w:rPr>
          <w:vertAlign w:val="subscript"/>
        </w:rPr>
        <w:t>4</w:t>
      </w:r>
      <w:r>
        <w:t>NO</w:t>
      </w:r>
      <w:r w:rsidR="007A00E3" w:rsidRPr="007A00E3">
        <w:rPr>
          <w:vertAlign w:val="subscript"/>
        </w:rPr>
        <w:t>3</w:t>
      </w:r>
    </w:p>
    <w:p w14:paraId="70A611EE" w14:textId="77777777" w:rsidR="00E30A93" w:rsidRDefault="00E30A93" w:rsidP="00506E99"/>
    <w:p w14:paraId="2E0ADB1D" w14:textId="26727453" w:rsidR="00E30A93" w:rsidRDefault="004A0D4A" w:rsidP="00506E99">
      <w:r>
        <w:t>Nitrous oxide, N</w:t>
      </w:r>
      <w:r w:rsidR="00053683" w:rsidRPr="007A00E3">
        <w:rPr>
          <w:vertAlign w:val="subscript"/>
        </w:rPr>
        <w:t>2</w:t>
      </w:r>
      <w:r>
        <w:t>O, and ammonia, NH</w:t>
      </w:r>
      <w:r w:rsidR="007A00E3" w:rsidRPr="007A00E3">
        <w:rPr>
          <w:vertAlign w:val="subscript"/>
        </w:rPr>
        <w:t>3</w:t>
      </w:r>
      <w:r>
        <w:t xml:space="preserve">, are not included in NOy because of their dramatically different chemistry.  </w:t>
      </w:r>
      <w:r w:rsidR="00E30A93">
        <w:t>The lifetime of NOy depends on altitude, temperature</w:t>
      </w:r>
      <w:r w:rsidR="00342792">
        <w:t>,</w:t>
      </w:r>
      <w:r w:rsidR="00E30A93">
        <w:t xml:space="preserve"> and rain rates, but is generally a day or so, allowing enough time for substantial amounts of NOy to travel hundreds of </w:t>
      </w:r>
      <w:r w:rsidR="00342792">
        <w:t xml:space="preserve">kilometers, especially </w:t>
      </w:r>
      <w:r w:rsidR="00D66DD4">
        <w:t>i</w:t>
      </w:r>
      <w:r w:rsidR="00342792">
        <w:t>f pollutants are lofted into the free troposphere.</w:t>
      </w:r>
    </w:p>
    <w:p w14:paraId="2B83EEF1" w14:textId="77777777" w:rsidR="00D66DD4" w:rsidRDefault="00D66DD4" w:rsidP="00506E99"/>
    <w:p w14:paraId="7F724F44" w14:textId="77FD56DF" w:rsidR="00D66DD4" w:rsidRDefault="00D66DD4" w:rsidP="00506E99">
      <w:r>
        <w:t xml:space="preserve">Concrete examples of these processes can be seen in the results of UMD’s Regional Atmospheric Measurement, Modeling and Prediction Program (RAMMPP) and NASA’s DISCOVER-AQ program that took place in July 2011.  Figure 1 shows results from typical </w:t>
      </w:r>
      <w:r w:rsidR="00E34B4E">
        <w:t xml:space="preserve">NOy </w:t>
      </w:r>
      <w:r>
        <w:t xml:space="preserve">altitude profiles over Maryland.  </w:t>
      </w:r>
      <w:r w:rsidR="00E34B4E">
        <w:t>Concentrations vary from 2</w:t>
      </w:r>
      <w:r w:rsidR="00A934CB">
        <w:t>-</w:t>
      </w:r>
      <w:r w:rsidR="00E34B4E">
        <w:t xml:space="preserve">12 ppb </w:t>
      </w:r>
      <w:r w:rsidR="00A934CB">
        <w:t xml:space="preserve">near the surface and are higher downwind of urban areas, but substantial concentrations exist upwind of Baltimore as well.  Above the planetary boundary layer (PBL) mixing ratios decrease to about 1 ppb.  </w:t>
      </w:r>
      <w:r w:rsidR="00EF2EC1">
        <w:t>But how is the NOy partitioned?</w:t>
      </w:r>
    </w:p>
    <w:p w14:paraId="639C2326" w14:textId="77777777" w:rsidR="00EF2EC1" w:rsidRDefault="00EF2EC1" w:rsidP="00506E99"/>
    <w:p w14:paraId="2857A8C4" w14:textId="5C81320E" w:rsidR="00435D9A" w:rsidRDefault="00EF2EC1" w:rsidP="00506E99">
      <w:r>
        <w:t xml:space="preserve">Figure 2 </w:t>
      </w:r>
      <w:r w:rsidR="00C31550">
        <w:t>show</w:t>
      </w:r>
      <w:r w:rsidR="00435D9A">
        <w:t>s</w:t>
      </w:r>
      <w:r w:rsidR="00C31550">
        <w:t xml:space="preserve"> how these trace gases are partitioned</w:t>
      </w:r>
      <w:r w:rsidR="00BC4385">
        <w:t>, and how this changes with time of day</w:t>
      </w:r>
      <w:r w:rsidR="00C31550">
        <w:t xml:space="preserve">.  In general </w:t>
      </w:r>
      <w:r w:rsidR="00E67A47">
        <w:t xml:space="preserve">NOx, organo-nitrogen (PAN’s </w:t>
      </w:r>
      <w:r w:rsidR="007E4572">
        <w:t>plus</w:t>
      </w:r>
      <w:r w:rsidR="00E67A47">
        <w:t xml:space="preserve"> AN’s), and nitric acid </w:t>
      </w:r>
      <w:r w:rsidR="00EB100D">
        <w:t xml:space="preserve">each occupy about 1/3 of the total.  At higher altitudes, farther away from sources, the fraction of NOx decreases.  </w:t>
      </w:r>
      <w:r w:rsidR="007E4572">
        <w:t>We can estimate the rate of dry deposition from the HNO</w:t>
      </w:r>
      <w:r w:rsidR="007A00E3" w:rsidRPr="007A00E3">
        <w:rPr>
          <w:vertAlign w:val="subscript"/>
        </w:rPr>
        <w:t>3</w:t>
      </w:r>
      <w:r w:rsidR="00E90074">
        <w:t xml:space="preserve"> concentration.  The </w:t>
      </w:r>
      <w:r w:rsidR="007E4572">
        <w:t xml:space="preserve">deposition velocity is about 2 cm/s and the </w:t>
      </w:r>
      <w:r w:rsidR="000E2966">
        <w:t>HNO</w:t>
      </w:r>
      <w:r w:rsidR="000E2966" w:rsidRPr="007A00E3">
        <w:rPr>
          <w:vertAlign w:val="subscript"/>
        </w:rPr>
        <w:t>3</w:t>
      </w:r>
      <w:r w:rsidR="000E2966">
        <w:t xml:space="preserve"> </w:t>
      </w:r>
      <w:r w:rsidR="007E4572">
        <w:t xml:space="preserve">mixing ratio is about </w:t>
      </w:r>
      <w:r w:rsidR="000E2966">
        <w:t xml:space="preserve">2 ppb or </w:t>
      </w:r>
      <w:r w:rsidR="007A00E3">
        <w:t>10</w:t>
      </w:r>
      <w:r w:rsidR="007A00E3" w:rsidRPr="007A00E3">
        <w:rPr>
          <w:vertAlign w:val="superscript"/>
        </w:rPr>
        <w:t>-6</w:t>
      </w:r>
      <w:r w:rsidR="007A00E3">
        <w:t xml:space="preserve"> g m</w:t>
      </w:r>
      <w:r w:rsidR="007A00E3" w:rsidRPr="007A00E3">
        <w:rPr>
          <w:vertAlign w:val="superscript"/>
        </w:rPr>
        <w:t>-3</w:t>
      </w:r>
      <w:r w:rsidR="007A00E3">
        <w:t xml:space="preserve">.  The deposition rate </w:t>
      </w:r>
      <w:r w:rsidR="00131E22">
        <w:t xml:space="preserve">(flux) </w:t>
      </w:r>
      <w:r w:rsidR="007A00E3">
        <w:t>is then about 2x10</w:t>
      </w:r>
      <w:r w:rsidR="007A00E3" w:rsidRPr="007A00E3">
        <w:rPr>
          <w:vertAlign w:val="superscript"/>
        </w:rPr>
        <w:t>-8</w:t>
      </w:r>
      <w:r w:rsidR="007A00E3">
        <w:t xml:space="preserve"> g</w:t>
      </w:r>
      <w:r w:rsidR="00435D9A">
        <w:t xml:space="preserve"> </w:t>
      </w:r>
      <w:r w:rsidR="007A00E3">
        <w:t>(N) m</w:t>
      </w:r>
      <w:r w:rsidR="007A00E3" w:rsidRPr="007A00E3">
        <w:rPr>
          <w:vertAlign w:val="superscript"/>
        </w:rPr>
        <w:t>-2</w:t>
      </w:r>
      <w:r w:rsidR="007A00E3">
        <w:t xml:space="preserve"> s</w:t>
      </w:r>
      <w:r w:rsidR="007A00E3" w:rsidRPr="007A00E3">
        <w:rPr>
          <w:vertAlign w:val="superscript"/>
        </w:rPr>
        <w:t>-1</w:t>
      </w:r>
      <w:r w:rsidR="00435D9A">
        <w:t xml:space="preserve"> and the lifetime of HNO</w:t>
      </w:r>
      <w:r w:rsidR="00435D9A" w:rsidRPr="00435D9A">
        <w:rPr>
          <w:vertAlign w:val="subscript"/>
        </w:rPr>
        <w:t>3</w:t>
      </w:r>
      <w:r w:rsidR="00435D9A">
        <w:t xml:space="preserve"> in a 2000-m deep boundary layer is about one day.</w:t>
      </w:r>
    </w:p>
    <w:p w14:paraId="4CFAA2B2" w14:textId="45F2307C" w:rsidR="00EF2EC1" w:rsidRDefault="007E4572" w:rsidP="00506E99">
      <w:r>
        <w:t xml:space="preserve"> </w:t>
      </w:r>
    </w:p>
    <w:p w14:paraId="6A6F6092" w14:textId="3D022EC8" w:rsidR="00563201" w:rsidRDefault="00EC387F" w:rsidP="00B9096E">
      <w:r>
        <w:t xml:space="preserve">Transport patterns </w:t>
      </w:r>
      <w:r w:rsidR="00BB6AD1">
        <w:t xml:space="preserve">(back trajectories) </w:t>
      </w:r>
      <w:r w:rsidR="00563201">
        <w:t xml:space="preserve">for high NOy days have not been calculated, but </w:t>
      </w:r>
      <w:r w:rsidR="00E93102">
        <w:t xml:space="preserve">are expected to resemble back trajectories for ozone, </w:t>
      </w:r>
      <w:r w:rsidR="002A0170">
        <w:t>because O</w:t>
      </w:r>
      <w:r w:rsidR="002A0170" w:rsidRPr="002A0170">
        <w:rPr>
          <w:vertAlign w:val="subscript"/>
        </w:rPr>
        <w:t>3</w:t>
      </w:r>
      <w:r w:rsidR="002A0170">
        <w:t xml:space="preserve"> and NOy </w:t>
      </w:r>
      <w:r w:rsidR="00E93102">
        <w:t>are</w:t>
      </w:r>
      <w:r w:rsidR="002A0170">
        <w:t xml:space="preserve"> positively</w:t>
      </w:r>
      <w:r w:rsidR="00E93102">
        <w:t xml:space="preserve"> correlated.  </w:t>
      </w:r>
      <w:r w:rsidR="00131E22">
        <w:t xml:space="preserve">Ozone correlates strongly with the concentration of “processed NOx” calculated as the difference between NOy and NOx and called NOz (EPA, 206).  </w:t>
      </w:r>
      <w:r w:rsidR="00E93102">
        <w:t>S</w:t>
      </w:r>
      <w:r w:rsidR="00563201">
        <w:t>everal articles have reported correlations of</w:t>
      </w:r>
      <w:r w:rsidR="00131E22">
        <w:t xml:space="preserve"> N</w:t>
      </w:r>
      <w:r w:rsidR="00563201">
        <w:t xml:space="preserve"> deposition and emissions.  Recent research (</w:t>
      </w:r>
      <w:r w:rsidR="00563201" w:rsidRPr="00435D9A">
        <w:rPr>
          <w:i/>
        </w:rPr>
        <w:t>Hao</w:t>
      </w:r>
      <w:r w:rsidR="00563201">
        <w:t xml:space="preserve">, 2012) </w:t>
      </w:r>
      <w:r w:rsidR="00BB6AD1">
        <w:t xml:space="preserve">indicates that ambient concentrations of NOx in Maryland correlate with emissions (Figure 3).  The correlation is actually stronger with power plant emissions than with vehicle emissions, despite the majority of monitors being located near I-95.  </w:t>
      </w:r>
    </w:p>
    <w:p w14:paraId="0E3E076D" w14:textId="77777777" w:rsidR="00563201" w:rsidRDefault="00563201" w:rsidP="00B9096E"/>
    <w:p w14:paraId="65DC4E27" w14:textId="77777777" w:rsidR="00BB6AD1" w:rsidRDefault="00635A2A" w:rsidP="00B9096E">
      <w:r>
        <w:t>In summary, r</w:t>
      </w:r>
      <w:r w:rsidR="00B409BF">
        <w:t>eactive nitrogen, emitted as NO</w:t>
      </w:r>
      <w:r>
        <w:t xml:space="preserve">, can be sequestered in a variety of species </w:t>
      </w:r>
      <w:r w:rsidR="00296C11">
        <w:t xml:space="preserve">and recycled through NOx several times </w:t>
      </w:r>
      <w:r>
        <w:t>prior to oxidation to HNO</w:t>
      </w:r>
      <w:r w:rsidRPr="00635A2A">
        <w:rPr>
          <w:vertAlign w:val="subscript"/>
        </w:rPr>
        <w:t>3</w:t>
      </w:r>
      <w:r w:rsidR="00B409BF">
        <w:t xml:space="preserve"> and loss from the atmosphere.</w:t>
      </w:r>
      <w:r>
        <w:t xml:space="preserve">  </w:t>
      </w:r>
      <w:r w:rsidR="00B409BF">
        <w:t xml:space="preserve">Boundary layer convection and other mixing processes transport NOy to higher altitudes where removal is slower and wind speeds greater.  </w:t>
      </w:r>
      <w:r>
        <w:t xml:space="preserve">The </w:t>
      </w:r>
      <w:r w:rsidR="00B409BF">
        <w:t>result</w:t>
      </w:r>
      <w:r>
        <w:t xml:space="preserve"> is a substantial fraction of NOx emitted </w:t>
      </w:r>
      <w:r w:rsidR="00B409BF">
        <w:t xml:space="preserve">in the Ohio River Valley </w:t>
      </w:r>
      <w:r>
        <w:t>deposited in the Chesapeake Bay watershed.</w:t>
      </w:r>
    </w:p>
    <w:p w14:paraId="09F27978" w14:textId="77777777" w:rsidR="00BB6AD1" w:rsidRDefault="00BB6AD1" w:rsidP="00B9096E"/>
    <w:p w14:paraId="6795F980" w14:textId="77777777" w:rsidR="00BB6AD1" w:rsidRDefault="00BB6AD1" w:rsidP="00B9096E">
      <w:pPr>
        <w:rPr>
          <w:b/>
        </w:rPr>
      </w:pPr>
    </w:p>
    <w:p w14:paraId="362AAD83" w14:textId="77777777" w:rsidR="00BB6AD1" w:rsidRDefault="00BB6AD1" w:rsidP="00435D9A">
      <w:pPr>
        <w:outlineLvl w:val="0"/>
        <w:rPr>
          <w:b/>
        </w:rPr>
      </w:pPr>
      <w:r>
        <w:rPr>
          <w:b/>
        </w:rPr>
        <w:t>References</w:t>
      </w:r>
    </w:p>
    <w:p w14:paraId="69114D13" w14:textId="6286C73A" w:rsidR="00BB6AD1" w:rsidRDefault="00BB6AD1" w:rsidP="00B9096E"/>
    <w:p w14:paraId="68408B86" w14:textId="77777777" w:rsidR="00172D33" w:rsidRDefault="00172D33" w:rsidP="00172D33">
      <w:r>
        <w:t xml:space="preserve">Butler, T. J., G. E. Likens, F. M. Vermeylen, and B. J. B. Stunder (2005), The impact of changing nitrogen oxide emissions on wet and dry nitrogen deposition in the northeastern USA, </w:t>
      </w:r>
      <w:r w:rsidRPr="00930986">
        <w:rPr>
          <w:i/>
        </w:rPr>
        <w:t>Atmospheric Environment</w:t>
      </w:r>
      <w:r>
        <w:t>, 39(27), 4851-4862.</w:t>
      </w:r>
    </w:p>
    <w:p w14:paraId="3E69C037" w14:textId="77777777" w:rsidR="00172D33" w:rsidRDefault="00172D33" w:rsidP="00172D33"/>
    <w:p w14:paraId="0F3587AC" w14:textId="77777777" w:rsidR="00172D33" w:rsidRDefault="00172D33" w:rsidP="00172D33">
      <w:r>
        <w:t>EPA (2010), Reactive Nitrogen in the United States; An Analysis of Inputs, Flows, Consequences, and Management Options edited by SAB.</w:t>
      </w:r>
    </w:p>
    <w:p w14:paraId="36736080" w14:textId="77777777" w:rsidR="00516DBA" w:rsidRDefault="00516DBA" w:rsidP="00516DBA"/>
    <w:p w14:paraId="3BCBA955" w14:textId="77777777" w:rsidR="00516DBA" w:rsidRDefault="00516DBA" w:rsidP="00516DBA">
      <w:r>
        <w:t>EPA (2006), Air Quality Criteria for Ozone and Related Photochemical Oxidants Rep. EPA/600/R-05/0004aA.</w:t>
      </w:r>
    </w:p>
    <w:p w14:paraId="0349D370" w14:textId="77777777" w:rsidR="00516DBA" w:rsidRDefault="00516DBA" w:rsidP="00516DBA"/>
    <w:p w14:paraId="070DC60C" w14:textId="588FCCB0" w:rsidR="00516DBA" w:rsidRDefault="00516DBA" w:rsidP="00516DBA">
      <w:r>
        <w:t>EPA (2008), Integrated Science Assessment for Oxides of Nitrogen and Sulfur – Ecological Criteria.  Rep. EPA/600/R-08/082F.</w:t>
      </w:r>
    </w:p>
    <w:p w14:paraId="47B1FF19" w14:textId="77777777" w:rsidR="00172D33" w:rsidRDefault="00172D33" w:rsidP="00172D33"/>
    <w:p w14:paraId="12943674" w14:textId="05ADD705" w:rsidR="00172D33" w:rsidRDefault="00172D33" w:rsidP="00435D9A">
      <w:pPr>
        <w:outlineLvl w:val="0"/>
      </w:pPr>
      <w:r>
        <w:t xml:space="preserve">Hains, J. C., et al., (2009) </w:t>
      </w:r>
      <w:r w:rsidRPr="00930986">
        <w:rPr>
          <w:i/>
        </w:rPr>
        <w:t>Atmos. Environ</w:t>
      </w:r>
      <w:r>
        <w:t xml:space="preserve">. </w:t>
      </w:r>
    </w:p>
    <w:p w14:paraId="79FFD259" w14:textId="77777777" w:rsidR="00172D33" w:rsidRDefault="00172D33" w:rsidP="00172D33"/>
    <w:p w14:paraId="13A28BDB" w14:textId="77777777" w:rsidR="00172D33" w:rsidRDefault="00172D33" w:rsidP="00172D33">
      <w:r>
        <w:t xml:space="preserve">Holland, E. A., B. H. Braswell, J. Sulzman, and J. F. Lamarque (2005), Nitrogen deposition onto the United States and western Europe: Synthesis of observations and models, </w:t>
      </w:r>
      <w:r w:rsidRPr="00930986">
        <w:rPr>
          <w:i/>
        </w:rPr>
        <w:t>Ecological Applications</w:t>
      </w:r>
      <w:r>
        <w:t>, 15(1), 38-57.</w:t>
      </w:r>
    </w:p>
    <w:p w14:paraId="66358E66" w14:textId="77777777" w:rsidR="00172D33" w:rsidRDefault="00172D33" w:rsidP="00172D33"/>
    <w:p w14:paraId="5DDC1724" w14:textId="77777777" w:rsidR="00172D33" w:rsidRDefault="00172D33" w:rsidP="00172D33">
      <w:r>
        <w:t xml:space="preserve">Pinder, R. W., K. W. Appel, and R. L. Dennis (2011), Trends in atmospheric reactive nitrogen for the Eastern United States, </w:t>
      </w:r>
      <w:r w:rsidRPr="00930986">
        <w:rPr>
          <w:i/>
        </w:rPr>
        <w:t>Environmental Pollution</w:t>
      </w:r>
      <w:r>
        <w:t>, 159(10), 3138-3141.</w:t>
      </w:r>
    </w:p>
    <w:p w14:paraId="2FA4D8D1" w14:textId="77777777" w:rsidR="00172D33" w:rsidRDefault="00172D33" w:rsidP="00172D33"/>
    <w:p w14:paraId="5F709DF6" w14:textId="77777777" w:rsidR="00172D33" w:rsidRDefault="00172D33" w:rsidP="00435D9A">
      <w:pPr>
        <w:outlineLvl w:val="0"/>
      </w:pPr>
      <w:r>
        <w:t>NADP, Annual Report, 2010, http://nadp.sws.uiuc.edu/lib/dataReports.aspx</w:t>
      </w:r>
    </w:p>
    <w:p w14:paraId="621E83C5" w14:textId="77777777" w:rsidR="00172D33" w:rsidRDefault="00172D33" w:rsidP="00172D33"/>
    <w:p w14:paraId="7E68D70E" w14:textId="77777777" w:rsidR="00172D33" w:rsidRDefault="00172D33" w:rsidP="00172D33">
      <w:r>
        <w:t>He, Hao, “Air Pollutant concentrations and trends over the eastern US and China:</w:t>
      </w:r>
    </w:p>
    <w:p w14:paraId="170F3B7C" w14:textId="77777777" w:rsidR="00172D33" w:rsidRDefault="00172D33" w:rsidP="00172D33">
      <w:r>
        <w:t>Aircraft measurements and numerical simulations” Ph.D. dissertation The University of Maryland, 2012.</w:t>
      </w:r>
    </w:p>
    <w:p w14:paraId="5447EE94" w14:textId="77777777" w:rsidR="00172D33" w:rsidRDefault="00172D33" w:rsidP="00B9096E"/>
    <w:p w14:paraId="2480665F" w14:textId="77777777" w:rsidR="00BB6AD1" w:rsidRDefault="00BB6AD1" w:rsidP="00B9096E"/>
    <w:p w14:paraId="25CF8079" w14:textId="77777777" w:rsidR="00BB6AD1" w:rsidRDefault="00BB6AD1" w:rsidP="00B9096E"/>
    <w:p w14:paraId="14D6D16A" w14:textId="57C6CBD0" w:rsidR="00BD773A" w:rsidRDefault="00BD773A" w:rsidP="00B9096E">
      <w:r>
        <w:rPr>
          <w:noProof/>
        </w:rPr>
        <w:drawing>
          <wp:inline distT="0" distB="0" distL="0" distR="0" wp14:anchorId="7B304A42" wp14:editId="069DB6BF">
            <wp:extent cx="2740794" cy="3698557"/>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151" cy="3701738"/>
                    </a:xfrm>
                    <a:prstGeom prst="rect">
                      <a:avLst/>
                    </a:prstGeom>
                    <a:noFill/>
                    <a:ln>
                      <a:noFill/>
                    </a:ln>
                  </pic:spPr>
                </pic:pic>
              </a:graphicData>
            </a:graphic>
          </wp:inline>
        </w:drawing>
      </w:r>
      <w:r w:rsidR="00DE4399">
        <w:rPr>
          <w:noProof/>
        </w:rPr>
        <w:drawing>
          <wp:inline distT="0" distB="0" distL="0" distR="0" wp14:anchorId="055F57B2" wp14:editId="3073DC31">
            <wp:extent cx="2743200" cy="36900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3690008"/>
                    </a:xfrm>
                    <a:prstGeom prst="rect">
                      <a:avLst/>
                    </a:prstGeom>
                    <a:noFill/>
                    <a:ln>
                      <a:noFill/>
                    </a:ln>
                  </pic:spPr>
                </pic:pic>
              </a:graphicData>
            </a:graphic>
          </wp:inline>
        </w:drawing>
      </w:r>
    </w:p>
    <w:p w14:paraId="4903F0B7" w14:textId="77777777" w:rsidR="00DE4399" w:rsidRDefault="00DE4399"/>
    <w:p w14:paraId="102C993E" w14:textId="25E459FD" w:rsidR="00BD773A" w:rsidRDefault="00BD773A">
      <w:r w:rsidRPr="00BB6AD1">
        <w:rPr>
          <w:b/>
        </w:rPr>
        <w:t>Figure</w:t>
      </w:r>
      <w:r w:rsidR="00BB6AD1" w:rsidRPr="00BB6AD1">
        <w:rPr>
          <w:b/>
        </w:rPr>
        <w:t xml:space="preserve"> </w:t>
      </w:r>
      <w:r w:rsidRPr="00BB6AD1">
        <w:rPr>
          <w:b/>
        </w:rPr>
        <w:t>1.</w:t>
      </w:r>
      <w:r>
        <w:t xml:space="preserve">  </w:t>
      </w:r>
      <w:r w:rsidR="00D82739">
        <w:t>Altitude profiles of t</w:t>
      </w:r>
      <w:r>
        <w:t xml:space="preserve">otal oxidized </w:t>
      </w:r>
      <w:r w:rsidR="00A12DAB">
        <w:t xml:space="preserve">reactive </w:t>
      </w:r>
      <w:r>
        <w:t>nitrogen (NOy) from</w:t>
      </w:r>
      <w:r w:rsidR="00D82739">
        <w:t xml:space="preserve"> </w:t>
      </w:r>
      <w:r>
        <w:t>NASA P3 observations during DISCOVER-AQ for two sites in Ma</w:t>
      </w:r>
      <w:r w:rsidR="003263EF">
        <w:t>r</w:t>
      </w:r>
      <w:r>
        <w:t xml:space="preserve">yland </w:t>
      </w:r>
      <w:r w:rsidR="00D82739">
        <w:t>–</w:t>
      </w:r>
      <w:r>
        <w:t xml:space="preserve"> </w:t>
      </w:r>
      <w:r w:rsidR="00D82739">
        <w:t xml:space="preserve">Essex </w:t>
      </w:r>
      <w:r>
        <w:t>(east of downt</w:t>
      </w:r>
      <w:r w:rsidR="00DE4399">
        <w:t xml:space="preserve">own Baltimore) and Padonia </w:t>
      </w:r>
      <w:r>
        <w:t>(</w:t>
      </w:r>
      <w:r w:rsidR="00DE4399">
        <w:t>northwest</w:t>
      </w:r>
      <w:r>
        <w:t xml:space="preserve"> of Baltimore and </w:t>
      </w:r>
      <w:r w:rsidR="00DE4399">
        <w:t>relatively rural</w:t>
      </w:r>
      <w:r>
        <w:t>)</w:t>
      </w:r>
      <w:r w:rsidR="003263EF">
        <w:t xml:space="preserve">.  </w:t>
      </w:r>
      <w:r>
        <w:t xml:space="preserve"> </w:t>
      </w:r>
      <w:r w:rsidR="00DE4399">
        <w:t>Units are parts p</w:t>
      </w:r>
      <w:r w:rsidR="00B409BF">
        <w:t xml:space="preserve">er trillion by volume; 4000 pptv </w:t>
      </w:r>
      <w:r w:rsidR="00DE4399">
        <w:t>= 4 ppb</w:t>
      </w:r>
      <w:r w:rsidR="00930986">
        <w:t>v</w:t>
      </w:r>
      <w:bookmarkStart w:id="0" w:name="_GoBack"/>
      <w:bookmarkEnd w:id="0"/>
      <w:r w:rsidR="00DE4399">
        <w:t xml:space="preserve">.  </w:t>
      </w:r>
      <w:r w:rsidR="003263EF">
        <w:t xml:space="preserve">The gray lines represent all observations from July 2011; colored lines are specific profiles of 7/16/11. </w:t>
      </w:r>
      <w:r w:rsidR="00D82739">
        <w:t xml:space="preserve"> </w:t>
      </w:r>
      <w:r w:rsidR="00DE4399">
        <w:t xml:space="preserve">Note that concentrations drop off rapidly above the relatively well-mixed planetary boundary layer.  </w:t>
      </w:r>
      <w:r w:rsidR="00D82739">
        <w:t xml:space="preserve">Data from </w:t>
      </w:r>
      <w:r w:rsidR="00DE4399">
        <w:t>R</w:t>
      </w:r>
      <w:r w:rsidR="00D82739">
        <w:t xml:space="preserve">. Cohen and A. Weinheimer </w:t>
      </w:r>
      <w:r w:rsidR="00D82739" w:rsidRPr="00D82739">
        <w:t>http://www-air.larc.nasa.gov/cgi-bin/arcstat-d</w:t>
      </w:r>
    </w:p>
    <w:p w14:paraId="19FF88D0" w14:textId="3739B45B" w:rsidR="00955B7D" w:rsidRDefault="00B9096E">
      <w:r>
        <w:rPr>
          <w:noProof/>
        </w:rPr>
        <w:drawing>
          <wp:inline distT="0" distB="0" distL="0" distR="0" wp14:anchorId="2492028E" wp14:editId="70D76E0B">
            <wp:extent cx="5486400" cy="6221054"/>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6221054"/>
                    </a:xfrm>
                    <a:prstGeom prst="rect">
                      <a:avLst/>
                    </a:prstGeom>
                    <a:noFill/>
                    <a:ln>
                      <a:noFill/>
                    </a:ln>
                  </pic:spPr>
                </pic:pic>
              </a:graphicData>
            </a:graphic>
          </wp:inline>
        </w:drawing>
      </w:r>
      <w:r w:rsidRPr="00B9096E">
        <w:t xml:space="preserve"> </w:t>
      </w:r>
    </w:p>
    <w:p w14:paraId="288F7D0A" w14:textId="3DE8DC01" w:rsidR="00B9096E" w:rsidRDefault="00B9096E">
      <w:r w:rsidRPr="00BB6AD1">
        <w:rPr>
          <w:b/>
        </w:rPr>
        <w:t>Figure 2.</w:t>
      </w:r>
      <w:r>
        <w:t xml:space="preserve">  Partitioning among reactive nitrogen (NOy) species by</w:t>
      </w:r>
      <w:r w:rsidR="004B2E1D">
        <w:t xml:space="preserve"> time of day and </w:t>
      </w:r>
      <w:r>
        <w:t xml:space="preserve">altitude during DISCOVER-AQ for three sites in Maryland – </w:t>
      </w:r>
      <w:r w:rsidR="00A55243">
        <w:t>Beltsville, NE of Washington</w:t>
      </w:r>
      <w:r w:rsidR="004B2E1D">
        <w:t>, DC;</w:t>
      </w:r>
      <w:r w:rsidR="00A55243">
        <w:t xml:space="preserve"> Padonia (northwest of Baltimore and relatively rural)</w:t>
      </w:r>
      <w:r w:rsidR="004B2E1D">
        <w:t>:</w:t>
      </w:r>
      <w:r w:rsidR="00A55243">
        <w:t xml:space="preserve"> </w:t>
      </w:r>
      <w:r>
        <w:t>Essex (east of downtown Baltimore)</w:t>
      </w:r>
      <w:r w:rsidR="00A55243">
        <w:t xml:space="preserve">.  </w:t>
      </w:r>
      <w:r w:rsidR="004B2E1D">
        <w:t xml:space="preserve">The top panels are morning and the middle panels afternoon fractional contribution to total NOy.  </w:t>
      </w:r>
      <w:r w:rsidR="00A55243">
        <w:t xml:space="preserve">On bottom panels </w:t>
      </w:r>
      <w:r w:rsidR="00A12DAB">
        <w:t xml:space="preserve">are mean </w:t>
      </w:r>
      <w:r w:rsidR="004B2E1D">
        <w:t>actual NO</w:t>
      </w:r>
      <w:r w:rsidR="004B2E1D" w:rsidRPr="00A12DAB">
        <w:rPr>
          <w:vertAlign w:val="subscript"/>
        </w:rPr>
        <w:t>2</w:t>
      </w:r>
      <w:r w:rsidR="004B2E1D">
        <w:t xml:space="preserve"> and NOy concentrations in </w:t>
      </w:r>
      <w:r w:rsidR="00A55243">
        <w:t>u</w:t>
      </w:r>
      <w:r w:rsidR="004B2E1D">
        <w:t xml:space="preserve">nits of </w:t>
      </w:r>
      <w:r>
        <w:t>parts pe</w:t>
      </w:r>
      <w:r w:rsidR="00A55243">
        <w:t>r b</w:t>
      </w:r>
      <w:r w:rsidR="004B2E1D">
        <w:t>illion by volume (ppb)</w:t>
      </w:r>
      <w:r>
        <w:t xml:space="preserve">. </w:t>
      </w:r>
      <w:r w:rsidR="00435D9A">
        <w:t xml:space="preserve"> </w:t>
      </w:r>
      <w:r>
        <w:t xml:space="preserve">Data from R. Cohen and A. Weinheimer </w:t>
      </w:r>
      <w:hyperlink r:id="rId11" w:history="1">
        <w:r w:rsidR="007215FF" w:rsidRPr="00D63B17">
          <w:rPr>
            <w:rStyle w:val="Hyperlink"/>
          </w:rPr>
          <w:t>http://www-air.larc.nasa.gov/cgi-bin/arcstat-d</w:t>
        </w:r>
      </w:hyperlink>
    </w:p>
    <w:p w14:paraId="6DD87182" w14:textId="77777777" w:rsidR="007215FF" w:rsidRDefault="007215FF"/>
    <w:p w14:paraId="69B9934C" w14:textId="0F54C738" w:rsidR="007215FF" w:rsidRDefault="007215FF">
      <w:r>
        <w:br w:type="page"/>
      </w:r>
    </w:p>
    <w:p w14:paraId="608EE824" w14:textId="77777777" w:rsidR="007215FF" w:rsidRDefault="007215FF" w:rsidP="007215FF">
      <w:pPr>
        <w:jc w:val="both"/>
      </w:pPr>
    </w:p>
    <w:p w14:paraId="10B72914" w14:textId="6D05D861" w:rsidR="007215FF" w:rsidRDefault="007215FF" w:rsidP="007215FF">
      <w:pPr>
        <w:jc w:val="both"/>
      </w:pPr>
      <w:r>
        <w:rPr>
          <w:noProof/>
        </w:rPr>
        <w:drawing>
          <wp:inline distT="0" distB="0" distL="0" distR="0" wp14:anchorId="5DAFA693" wp14:editId="6C96B760">
            <wp:extent cx="5398135" cy="4172585"/>
            <wp:effectExtent l="0" t="0" r="12065" b="0"/>
            <wp:docPr id="2" name="Picture 3"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8135" cy="4172585"/>
                    </a:xfrm>
                    <a:prstGeom prst="rect">
                      <a:avLst/>
                    </a:prstGeom>
                    <a:noFill/>
                    <a:ln>
                      <a:noFill/>
                    </a:ln>
                  </pic:spPr>
                </pic:pic>
              </a:graphicData>
            </a:graphic>
          </wp:inline>
        </w:drawing>
      </w:r>
    </w:p>
    <w:p w14:paraId="144B00D8" w14:textId="3BE79306" w:rsidR="007215FF" w:rsidRPr="007215FF" w:rsidRDefault="007215FF" w:rsidP="00435D9A">
      <w:r>
        <w:rPr>
          <w:b/>
        </w:rPr>
        <w:t xml:space="preserve">Figure </w:t>
      </w:r>
      <w:r w:rsidR="00EC387F">
        <w:rPr>
          <w:b/>
        </w:rPr>
        <w:t>3</w:t>
      </w:r>
      <w:r>
        <w:rPr>
          <w:b/>
        </w:rPr>
        <w:t>.</w:t>
      </w:r>
      <w:r w:rsidR="00435D9A">
        <w:t xml:space="preserve"> T</w:t>
      </w:r>
      <w:r>
        <w:t xml:space="preserve">emporal trends in NOx emissions </w:t>
      </w:r>
      <w:r w:rsidR="00EC387F">
        <w:t xml:space="preserve">and observed </w:t>
      </w:r>
      <w:r w:rsidR="00435D9A">
        <w:t xml:space="preserve">surface </w:t>
      </w:r>
      <w:r w:rsidR="00EC387F">
        <w:t xml:space="preserve">concentrations in Maryland.  Emissions </w:t>
      </w:r>
      <w:r w:rsidR="00435D9A">
        <w:t xml:space="preserve">are </w:t>
      </w:r>
      <w:r w:rsidR="00EC387F">
        <w:t>from CEMS USEPA NEI mobile NO</w:t>
      </w:r>
      <w:r w:rsidR="00EC387F" w:rsidRPr="00A039D9">
        <w:rPr>
          <w:vertAlign w:val="subscript"/>
        </w:rPr>
        <w:t>x</w:t>
      </w:r>
      <w:r w:rsidR="00EC387F">
        <w:t xml:space="preserve"> emissions (NEI </w:t>
      </w:r>
      <w:r w:rsidR="00EC387F" w:rsidRPr="00A039D9">
        <w:rPr>
          <w:i/>
        </w:rPr>
        <w:t>mobile emission = onroad emission + nonroad emission</w:t>
      </w:r>
      <w:r w:rsidR="00EC387F">
        <w:t>).  Most monitors are located near I-95 but concentrations follow power plants emissions more closely.</w:t>
      </w:r>
    </w:p>
    <w:p w14:paraId="606E1F7E" w14:textId="77777777" w:rsidR="00516DBA" w:rsidRDefault="00516DBA"/>
    <w:p w14:paraId="50BDD396" w14:textId="77777777" w:rsidR="00516DBA" w:rsidRDefault="00516DBA"/>
    <w:p w14:paraId="49C6FA23" w14:textId="6D6EA0FC" w:rsidR="00886141" w:rsidRPr="00886141" w:rsidRDefault="00886141"/>
    <w:sectPr w:rsidR="00886141" w:rsidRPr="00886141" w:rsidSect="00955B7D">
      <w:footerReference w:type="even" r:id="rId13"/>
      <w:footerReference w:type="default" r:id="rId1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8D1D42" w14:textId="77777777" w:rsidR="00BB6AD1" w:rsidRDefault="00BB6AD1" w:rsidP="00A12DAB">
      <w:r>
        <w:separator/>
      </w:r>
    </w:p>
  </w:endnote>
  <w:endnote w:type="continuationSeparator" w:id="0">
    <w:p w14:paraId="3A1B7F9A" w14:textId="77777777" w:rsidR="00BB6AD1" w:rsidRDefault="00BB6AD1" w:rsidP="00A12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237EF" w14:textId="77777777" w:rsidR="00BB6AD1" w:rsidRDefault="00BB6AD1" w:rsidP="00A12DA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9F23E07" w14:textId="77777777" w:rsidR="00BB6AD1" w:rsidRDefault="00BB6AD1" w:rsidP="00A12DA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09B95" w14:textId="77777777" w:rsidR="00BB6AD1" w:rsidRDefault="00BB6AD1" w:rsidP="00A12DA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30986">
      <w:rPr>
        <w:rStyle w:val="PageNumber"/>
        <w:noProof/>
      </w:rPr>
      <w:t>1</w:t>
    </w:r>
    <w:r>
      <w:rPr>
        <w:rStyle w:val="PageNumber"/>
      </w:rPr>
      <w:fldChar w:fldCharType="end"/>
    </w:r>
  </w:p>
  <w:p w14:paraId="2794745B" w14:textId="77777777" w:rsidR="00BB6AD1" w:rsidRDefault="00BB6AD1" w:rsidP="00A12DA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652625" w14:textId="77777777" w:rsidR="00BB6AD1" w:rsidRDefault="00BB6AD1" w:rsidP="00A12DAB">
      <w:r>
        <w:separator/>
      </w:r>
    </w:p>
  </w:footnote>
  <w:footnote w:type="continuationSeparator" w:id="0">
    <w:p w14:paraId="1A52BBFE" w14:textId="77777777" w:rsidR="00BB6AD1" w:rsidRDefault="00BB6AD1" w:rsidP="00A12DA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2"/>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Geophysical Res&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20ez2zzp6frwx3exz5q5t09sv59apd2rvdwv&quot;&gt;Reprints-Conv20110501Good&lt;record-ids&gt;&lt;item&gt;3093&lt;/item&gt;&lt;item&gt;14947&lt;/item&gt;&lt;/record-ids&gt;&lt;/item&gt;&lt;/Libraries&gt;"/>
  </w:docVars>
  <w:rsids>
    <w:rsidRoot w:val="00BD773A"/>
    <w:rsid w:val="00053683"/>
    <w:rsid w:val="000E2966"/>
    <w:rsid w:val="00131E22"/>
    <w:rsid w:val="00172D33"/>
    <w:rsid w:val="00197C1A"/>
    <w:rsid w:val="001E1964"/>
    <w:rsid w:val="00296C11"/>
    <w:rsid w:val="002A0170"/>
    <w:rsid w:val="003263EF"/>
    <w:rsid w:val="00342792"/>
    <w:rsid w:val="00435D9A"/>
    <w:rsid w:val="004A0D4A"/>
    <w:rsid w:val="004B2E1D"/>
    <w:rsid w:val="00506E99"/>
    <w:rsid w:val="00516DBA"/>
    <w:rsid w:val="00563201"/>
    <w:rsid w:val="00635A2A"/>
    <w:rsid w:val="00663C52"/>
    <w:rsid w:val="00685C8A"/>
    <w:rsid w:val="007215FF"/>
    <w:rsid w:val="007A00E3"/>
    <w:rsid w:val="007E4572"/>
    <w:rsid w:val="00810915"/>
    <w:rsid w:val="008764EA"/>
    <w:rsid w:val="00886141"/>
    <w:rsid w:val="00913A89"/>
    <w:rsid w:val="00930986"/>
    <w:rsid w:val="00955B7D"/>
    <w:rsid w:val="00A12DAB"/>
    <w:rsid w:val="00A55243"/>
    <w:rsid w:val="00A934CB"/>
    <w:rsid w:val="00B409BF"/>
    <w:rsid w:val="00B9096E"/>
    <w:rsid w:val="00BB6AD1"/>
    <w:rsid w:val="00BC4385"/>
    <w:rsid w:val="00BD773A"/>
    <w:rsid w:val="00C31550"/>
    <w:rsid w:val="00D25121"/>
    <w:rsid w:val="00D44CB4"/>
    <w:rsid w:val="00D66DD4"/>
    <w:rsid w:val="00D82739"/>
    <w:rsid w:val="00DE4399"/>
    <w:rsid w:val="00E30A93"/>
    <w:rsid w:val="00E34B4E"/>
    <w:rsid w:val="00E67A47"/>
    <w:rsid w:val="00E90074"/>
    <w:rsid w:val="00E93102"/>
    <w:rsid w:val="00EB100D"/>
    <w:rsid w:val="00EC387F"/>
    <w:rsid w:val="00EF2EC1"/>
    <w:rsid w:val="00F309A4"/>
    <w:rsid w:val="00FF70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6DD4EA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773A"/>
    <w:rPr>
      <w:rFonts w:ascii="Lucida Grande" w:hAnsi="Lucida Grande"/>
      <w:sz w:val="18"/>
      <w:szCs w:val="18"/>
    </w:rPr>
  </w:style>
  <w:style w:type="character" w:customStyle="1" w:styleId="BalloonTextChar">
    <w:name w:val="Balloon Text Char"/>
    <w:basedOn w:val="DefaultParagraphFont"/>
    <w:link w:val="BalloonText"/>
    <w:uiPriority w:val="99"/>
    <w:semiHidden/>
    <w:rsid w:val="00BD773A"/>
    <w:rPr>
      <w:rFonts w:ascii="Lucida Grande" w:hAnsi="Lucida Grande"/>
      <w:sz w:val="18"/>
      <w:szCs w:val="18"/>
    </w:rPr>
  </w:style>
  <w:style w:type="character" w:styleId="Hyperlink">
    <w:name w:val="Hyperlink"/>
    <w:basedOn w:val="DefaultParagraphFont"/>
    <w:uiPriority w:val="99"/>
    <w:unhideWhenUsed/>
    <w:rsid w:val="00B9096E"/>
    <w:rPr>
      <w:color w:val="0000FF" w:themeColor="hyperlink"/>
      <w:u w:val="single"/>
    </w:rPr>
  </w:style>
  <w:style w:type="paragraph" w:styleId="Footer">
    <w:name w:val="footer"/>
    <w:basedOn w:val="Normal"/>
    <w:link w:val="FooterChar"/>
    <w:uiPriority w:val="99"/>
    <w:unhideWhenUsed/>
    <w:rsid w:val="00A12DAB"/>
    <w:pPr>
      <w:tabs>
        <w:tab w:val="center" w:pos="4320"/>
        <w:tab w:val="right" w:pos="8640"/>
      </w:tabs>
    </w:pPr>
  </w:style>
  <w:style w:type="character" w:customStyle="1" w:styleId="FooterChar">
    <w:name w:val="Footer Char"/>
    <w:basedOn w:val="DefaultParagraphFont"/>
    <w:link w:val="Footer"/>
    <w:uiPriority w:val="99"/>
    <w:rsid w:val="00A12DAB"/>
  </w:style>
  <w:style w:type="character" w:styleId="PageNumber">
    <w:name w:val="page number"/>
    <w:basedOn w:val="DefaultParagraphFont"/>
    <w:uiPriority w:val="99"/>
    <w:semiHidden/>
    <w:unhideWhenUsed/>
    <w:rsid w:val="00A12DA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773A"/>
    <w:rPr>
      <w:rFonts w:ascii="Lucida Grande" w:hAnsi="Lucida Grande"/>
      <w:sz w:val="18"/>
      <w:szCs w:val="18"/>
    </w:rPr>
  </w:style>
  <w:style w:type="character" w:customStyle="1" w:styleId="BalloonTextChar">
    <w:name w:val="Balloon Text Char"/>
    <w:basedOn w:val="DefaultParagraphFont"/>
    <w:link w:val="BalloonText"/>
    <w:uiPriority w:val="99"/>
    <w:semiHidden/>
    <w:rsid w:val="00BD773A"/>
    <w:rPr>
      <w:rFonts w:ascii="Lucida Grande" w:hAnsi="Lucida Grande"/>
      <w:sz w:val="18"/>
      <w:szCs w:val="18"/>
    </w:rPr>
  </w:style>
  <w:style w:type="character" w:styleId="Hyperlink">
    <w:name w:val="Hyperlink"/>
    <w:basedOn w:val="DefaultParagraphFont"/>
    <w:uiPriority w:val="99"/>
    <w:unhideWhenUsed/>
    <w:rsid w:val="00B9096E"/>
    <w:rPr>
      <w:color w:val="0000FF" w:themeColor="hyperlink"/>
      <w:u w:val="single"/>
    </w:rPr>
  </w:style>
  <w:style w:type="paragraph" w:styleId="Footer">
    <w:name w:val="footer"/>
    <w:basedOn w:val="Normal"/>
    <w:link w:val="FooterChar"/>
    <w:uiPriority w:val="99"/>
    <w:unhideWhenUsed/>
    <w:rsid w:val="00A12DAB"/>
    <w:pPr>
      <w:tabs>
        <w:tab w:val="center" w:pos="4320"/>
        <w:tab w:val="right" w:pos="8640"/>
      </w:tabs>
    </w:pPr>
  </w:style>
  <w:style w:type="character" w:customStyle="1" w:styleId="FooterChar">
    <w:name w:val="Footer Char"/>
    <w:basedOn w:val="DefaultParagraphFont"/>
    <w:link w:val="Footer"/>
    <w:uiPriority w:val="99"/>
    <w:rsid w:val="00A12DAB"/>
  </w:style>
  <w:style w:type="character" w:styleId="PageNumber">
    <w:name w:val="page number"/>
    <w:basedOn w:val="DefaultParagraphFont"/>
    <w:uiPriority w:val="99"/>
    <w:semiHidden/>
    <w:unhideWhenUsed/>
    <w:rsid w:val="00A12D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air.larc.nasa.gov/cgi-bin/arcstat-d" TargetMode="External"/><Relationship Id="rId12" Type="http://schemas.openxmlformats.org/officeDocument/2006/relationships/image" Target="media/image4.pn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russ@atmos.umd.edu" TargetMode="External"/><Relationship Id="rId8" Type="http://schemas.openxmlformats.org/officeDocument/2006/relationships/image" Target="media/image1.emf"/><Relationship Id="rId9" Type="http://schemas.openxmlformats.org/officeDocument/2006/relationships/image" Target="media/image2.emf"/><Relationship Id="rId10"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1458</Words>
  <Characters>8316</Characters>
  <Application>Microsoft Macintosh Word</Application>
  <DocSecurity>0</DocSecurity>
  <Lines>69</Lines>
  <Paragraphs>19</Paragraphs>
  <ScaleCrop>false</ScaleCrop>
  <Company>umd</Company>
  <LinksUpToDate>false</LinksUpToDate>
  <CharactersWithSpaces>9755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Russell Dickerson</dc:creator>
  <cp:keywords/>
  <dc:description/>
  <cp:lastModifiedBy>Russell Dickerson</cp:lastModifiedBy>
  <cp:revision>3</cp:revision>
  <cp:lastPrinted>2012-03-12T13:09:00Z</cp:lastPrinted>
  <dcterms:created xsi:type="dcterms:W3CDTF">2012-03-12T13:11:00Z</dcterms:created>
  <dcterms:modified xsi:type="dcterms:W3CDTF">2012-03-12T14:47:00Z</dcterms:modified>
</cp:coreProperties>
</file>